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C635DF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C635DF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>
                        <w:rPr>
                          <w:sz w:val="28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C635DF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21.08</w:t>
                            </w:r>
                            <w:r w:rsidR="00EE3AE4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C635DF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21.08</w:t>
                      </w:r>
                      <w:r w:rsidR="00EE3AE4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C635DF" w:rsidRPr="00C635DF" w:rsidRDefault="00C635DF" w:rsidP="00C42A8B">
      <w:pPr>
        <w:ind w:firstLine="567"/>
        <w:jc w:val="center"/>
        <w:rPr>
          <w:rFonts w:ascii="Century" w:hAnsi="Century"/>
          <w:b/>
          <w:caps/>
          <w:spacing w:val="24"/>
          <w:sz w:val="24"/>
          <w:szCs w:val="24"/>
        </w:rPr>
      </w:pPr>
      <w:r w:rsidRPr="00C635DF">
        <w:rPr>
          <w:rFonts w:ascii="Century" w:hAnsi="Century"/>
          <w:b/>
          <w:caps/>
          <w:spacing w:val="24"/>
          <w:sz w:val="24"/>
          <w:szCs w:val="24"/>
          <w:lang w:val="en-US"/>
        </w:rPr>
        <w:t>I</w:t>
      </w:r>
      <w:r w:rsidRPr="00C635DF">
        <w:rPr>
          <w:rFonts w:ascii="Century" w:hAnsi="Century"/>
          <w:b/>
          <w:caps/>
          <w:spacing w:val="24"/>
          <w:sz w:val="24"/>
          <w:szCs w:val="24"/>
        </w:rPr>
        <w:t xml:space="preserve"> Международная научно-практическая конференция </w:t>
      </w:r>
    </w:p>
    <w:p w:rsidR="00C635DF" w:rsidRPr="00807D7F" w:rsidRDefault="00C635DF" w:rsidP="00C42A8B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 xml:space="preserve">«Педагогика и психология: </w:t>
      </w:r>
    </w:p>
    <w:p w:rsidR="00C635DF" w:rsidRPr="00807D7F" w:rsidRDefault="00C635DF" w:rsidP="00C42A8B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 xml:space="preserve">новые реалии и научные решения» </w:t>
      </w:r>
    </w:p>
    <w:p w:rsidR="00EA07EB" w:rsidRPr="00807D7F" w:rsidRDefault="00223D11" w:rsidP="00C42A8B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>(</w:t>
      </w:r>
      <w:r w:rsidR="00C635DF" w:rsidRPr="00807D7F">
        <w:rPr>
          <w:rFonts w:ascii="Century" w:hAnsi="Century"/>
          <w:b/>
          <w:sz w:val="26"/>
          <w:szCs w:val="26"/>
        </w:rPr>
        <w:t>22 сентября</w:t>
      </w:r>
      <w:r w:rsidR="00EE3AE4" w:rsidRPr="00807D7F">
        <w:rPr>
          <w:rFonts w:ascii="Century" w:hAnsi="Century"/>
          <w:b/>
          <w:sz w:val="26"/>
          <w:szCs w:val="26"/>
        </w:rPr>
        <w:t xml:space="preserve"> 2023</w:t>
      </w:r>
      <w:r w:rsidR="00FD03E4" w:rsidRPr="00807D7F">
        <w:rPr>
          <w:rFonts w:ascii="Century" w:hAnsi="Century"/>
          <w:b/>
          <w:sz w:val="26"/>
          <w:szCs w:val="26"/>
        </w:rPr>
        <w:t xml:space="preserve"> г.</w:t>
      </w:r>
      <w:r w:rsidR="006C5F6C" w:rsidRPr="00807D7F">
        <w:rPr>
          <w:rFonts w:ascii="Century" w:hAnsi="Century"/>
          <w:b/>
          <w:caps/>
          <w:spacing w:val="24"/>
          <w:sz w:val="26"/>
          <w:szCs w:val="26"/>
        </w:rPr>
        <w:t>)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C635DF">
        <w:rPr>
          <w:rFonts w:ascii="Century" w:hAnsi="Century"/>
          <w:b/>
          <w:sz w:val="25"/>
          <w:szCs w:val="25"/>
        </w:rPr>
        <w:t>21 августа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940864" w:rsidRPr="00A77318">
        <w:rPr>
          <w:rFonts w:ascii="Century" w:hAnsi="Century"/>
          <w:b/>
          <w:sz w:val="25"/>
          <w:szCs w:val="25"/>
        </w:rPr>
        <w:t xml:space="preserve"> г. по </w:t>
      </w:r>
      <w:r w:rsidR="00C635DF">
        <w:rPr>
          <w:rFonts w:ascii="Century" w:hAnsi="Century"/>
          <w:b/>
          <w:sz w:val="25"/>
          <w:szCs w:val="25"/>
        </w:rPr>
        <w:t>22 сентября</w:t>
      </w:r>
      <w:r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EA07EB"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C635DF">
        <w:rPr>
          <w:rFonts w:ascii="Century" w:hAnsi="Century"/>
          <w:b/>
          <w:sz w:val="25"/>
          <w:szCs w:val="25"/>
        </w:rPr>
        <w:t>22 сентября</w:t>
      </w:r>
      <w:r w:rsidR="00C635DF"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571F4E" w:rsidRPr="00A77318">
        <w:rPr>
          <w:rFonts w:ascii="Century" w:hAnsi="Century"/>
          <w:b/>
          <w:sz w:val="25"/>
          <w:szCs w:val="25"/>
        </w:rPr>
        <w:t xml:space="preserve"> 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C635DF" w:rsidRPr="00FB500E" w:rsidRDefault="00C635DF" w:rsidP="00C635DF">
      <w:pPr>
        <w:shd w:val="clear" w:color="auto" w:fill="FFFFFF"/>
        <w:ind w:firstLine="567"/>
        <w:jc w:val="both"/>
        <w:rPr>
          <w:rFonts w:ascii="Century" w:hAnsi="Century"/>
          <w:sz w:val="26"/>
          <w:szCs w:val="26"/>
          <w:shd w:val="clear" w:color="auto" w:fill="FFFFFF"/>
          <w:lang w:val="x-none" w:eastAsia="x-none"/>
        </w:rPr>
      </w:pP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Сборнику присваиваются коды ISBN, УДК, ББК, он будет разослан по основным библиотекам России и зарегистрирован в Российской книжной палате</w:t>
      </w:r>
      <w:r w:rsidRPr="00FB500E">
        <w:rPr>
          <w:rFonts w:ascii="Century" w:hAnsi="Century"/>
          <w:b/>
          <w:sz w:val="26"/>
          <w:szCs w:val="26"/>
          <w:shd w:val="clear" w:color="auto" w:fill="FFFFFF"/>
          <w:lang w:val="x-none" w:eastAsia="x-none"/>
        </w:rPr>
        <w:t>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4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C635DF">
        <w:rPr>
          <w:rFonts w:ascii="Century" w:hAnsi="Century"/>
          <w:b/>
          <w:sz w:val="25"/>
          <w:szCs w:val="25"/>
        </w:rPr>
        <w:t>06 октября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1E5755" w:rsidRPr="00A77318">
        <w:rPr>
          <w:rFonts w:ascii="Century" w:hAnsi="Century"/>
          <w:b/>
          <w:sz w:val="25"/>
          <w:szCs w:val="25"/>
        </w:rPr>
        <w:t>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C635DF">
        <w:rPr>
          <w:rFonts w:ascii="Century" w:hAnsi="Century"/>
          <w:b/>
          <w:sz w:val="25"/>
          <w:szCs w:val="25"/>
        </w:rPr>
        <w:t>23 октября</w:t>
      </w:r>
      <w:r w:rsidR="001E5755" w:rsidRPr="00A77318">
        <w:rPr>
          <w:rFonts w:ascii="Century" w:hAnsi="Century"/>
          <w:b/>
          <w:sz w:val="25"/>
          <w:szCs w:val="25"/>
        </w:rPr>
        <w:t xml:space="preserve"> 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lastRenderedPageBreak/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>, размер 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C635DF">
        <w:rPr>
          <w:rFonts w:ascii="Century" w:hAnsi="Century"/>
          <w:sz w:val="25"/>
          <w:szCs w:val="25"/>
        </w:rPr>
        <w:t>5</w:t>
      </w:r>
      <w:r w:rsidR="00EA07EB" w:rsidRPr="00A77318">
        <w:rPr>
          <w:rFonts w:ascii="Century" w:hAnsi="Century"/>
          <w:sz w:val="25"/>
          <w:szCs w:val="25"/>
        </w:rPr>
        <w:t xml:space="preserve"> руб. (неполная страница считается как полная).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ED1109" w:rsidRPr="00A77318" w:rsidRDefault="00EA07EB" w:rsidP="00ED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b/>
          <w:color w:val="000000"/>
          <w:sz w:val="25"/>
          <w:szCs w:val="25"/>
          <w:u w:val="single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</w:p>
    <w:p w:rsidR="00CA0742" w:rsidRDefault="00EA07EB" w:rsidP="00CA0742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5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p w:rsidR="00CA0742" w:rsidRDefault="00CA0742" w:rsidP="00CA0742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  <w:sectPr w:rsidR="00CA0742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240"/>
        <w:gridCol w:w="1471"/>
        <w:gridCol w:w="2190"/>
        <w:gridCol w:w="1723"/>
        <w:gridCol w:w="1868"/>
        <w:gridCol w:w="1263"/>
        <w:gridCol w:w="1331"/>
        <w:gridCol w:w="2798"/>
      </w:tblGrid>
      <w:tr w:rsidR="00CA0742" w:rsidRPr="00CA0742" w:rsidTr="00CA0742">
        <w:trPr>
          <w:trHeight w:val="154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spacing w:after="240"/>
              <w:rPr>
                <w:rFonts w:ascii="Century" w:hAnsi="Century" w:cs="Calibri"/>
                <w:b/>
                <w:bCs/>
                <w:color w:val="0000FF"/>
              </w:rPr>
            </w:pPr>
            <w:r w:rsidRPr="00CA0742">
              <w:rPr>
                <w:rFonts w:ascii="Century" w:hAnsi="Century" w:cs="Calibri"/>
                <w:b/>
                <w:bCs/>
              </w:rPr>
              <w:lastRenderedPageBreak/>
              <w:t>Общество с ограниченной ответственностью</w:t>
            </w:r>
            <w:r w:rsidRPr="00CA0742">
              <w:rPr>
                <w:rFonts w:ascii="Century" w:hAnsi="Century" w:cs="Calibri"/>
                <w:b/>
                <w:bCs/>
              </w:rPr>
              <w:br/>
              <w:t xml:space="preserve">"Образовательный центр "Инициатива" </w:t>
            </w:r>
            <w:r w:rsidRPr="00CA0742">
              <w:rPr>
                <w:rFonts w:ascii="Century" w:hAnsi="Century" w:cs="Calibri"/>
                <w:b/>
                <w:bCs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A0742">
              <w:rPr>
                <w:rFonts w:ascii="Century" w:hAnsi="Century" w:cs="Calibri"/>
                <w:b/>
                <w:bCs/>
                <w:color w:val="008000"/>
              </w:rPr>
              <w:t>WhatsApp 8-927-667-95-50</w:t>
            </w:r>
            <w:r w:rsidRPr="00CA0742">
              <w:rPr>
                <w:rFonts w:ascii="Century" w:hAnsi="Century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CA0742">
              <w:rPr>
                <w:rFonts w:ascii="Century" w:hAnsi="Century" w:cs="Calibri"/>
                <w:b/>
                <w:bCs/>
                <w:color w:val="800080"/>
              </w:rPr>
              <w:t>inceptum.3@mail.ru</w:t>
            </w:r>
            <w:r w:rsidRPr="00CA0742">
              <w:rPr>
                <w:rFonts w:ascii="Century" w:hAnsi="Century" w:cs="Calibri"/>
                <w:b/>
                <w:bCs/>
              </w:rPr>
              <w:t xml:space="preserve">, сайт: </w:t>
            </w:r>
            <w:r w:rsidRPr="00CA0742">
              <w:rPr>
                <w:rFonts w:ascii="Century" w:hAnsi="Century" w:cs="Calibri"/>
                <w:b/>
                <w:bCs/>
                <w:color w:val="800080"/>
              </w:rPr>
              <w:t>www.inceptum21.ru</w:t>
            </w:r>
            <w:r w:rsidRPr="00CA0742">
              <w:rPr>
                <w:rFonts w:ascii="Century" w:hAnsi="Century" w:cs="Calibri"/>
                <w:b/>
                <w:bCs/>
              </w:rPr>
              <w:br/>
            </w:r>
            <w:r w:rsidRPr="00CA0742">
              <w:rPr>
                <w:rFonts w:ascii="Century" w:hAnsi="Century" w:cs="Calibri"/>
                <w:b/>
                <w:bCs/>
              </w:rPr>
              <w:br/>
            </w:r>
          </w:p>
        </w:tc>
      </w:tr>
      <w:tr w:rsidR="00CA0742" w:rsidRPr="00CA0742" w:rsidTr="00CA0742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color w:val="000000"/>
                <w:sz w:val="24"/>
                <w:szCs w:val="24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t xml:space="preserve">Заявка на участие </w:t>
            </w:r>
          </w:p>
        </w:tc>
      </w:tr>
      <w:tr w:rsidR="00CA0742" w:rsidRPr="00CA0742" w:rsidTr="00CA0742">
        <w:trPr>
          <w:trHeight w:val="1305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742" w:rsidRPr="00CA0742" w:rsidRDefault="00CA0742" w:rsidP="00CA0742">
            <w:pPr>
              <w:spacing w:after="260"/>
              <w:jc w:val="center"/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t xml:space="preserve">I МЕЖДУНАРОДНАЯ НАУЧНО-ПРАКТИЧЕСКАЯ КОНФЕРЕНЦИЯ </w:t>
            </w:r>
            <w:r w:rsidRPr="00CA0742"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br/>
              <w:t xml:space="preserve">«ПЕДАГОГИКА И ПСИХОЛОГИЯ: </w:t>
            </w:r>
            <w:r w:rsidRPr="00CA0742"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br/>
              <w:t xml:space="preserve">НОВЫЕ РЕАЛИИ И НАУЧНЫЕ </w:t>
            </w:r>
            <w:r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t xml:space="preserve">РЕШЕНИЯ» </w:t>
            </w:r>
            <w:r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br/>
              <w:t>(22 сентября 2023 г.)</w:t>
            </w:r>
            <w:bookmarkStart w:id="0" w:name="_GoBack"/>
            <w:bookmarkEnd w:id="0"/>
          </w:p>
        </w:tc>
      </w:tr>
      <w:tr w:rsidR="00CA0742" w:rsidRPr="00CA0742" w:rsidTr="00CA0742">
        <w:trPr>
          <w:trHeight w:val="26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статьи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ФИО получателя.            Индекс.       Почтовый адрес.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Е-mail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42" w:rsidRPr="00CA0742" w:rsidRDefault="00CA0742" w:rsidP="00CA0742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  <w:t>Количество дополнительных экземпляров сборника (стоимость 300 р./шт.)</w:t>
            </w:r>
          </w:p>
        </w:tc>
      </w:tr>
      <w:tr w:rsidR="00CA0742" w:rsidRPr="00CA0742" w:rsidTr="00CA0742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CA0742" w:rsidRPr="00CA0742" w:rsidTr="00CA0742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CA0742" w:rsidRPr="00CA0742" w:rsidTr="00CA0742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742" w:rsidRPr="00CA0742" w:rsidRDefault="00CA0742" w:rsidP="00CA0742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CA0742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CA0742" w:rsidRPr="00A77318" w:rsidRDefault="00CA0742" w:rsidP="00CA0742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</w:pPr>
    </w:p>
    <w:sectPr w:rsidR="00CA0742" w:rsidRPr="00A77318" w:rsidSect="00CA0742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C7" w:rsidRDefault="00E967C7" w:rsidP="003934F7">
      <w:r>
        <w:separator/>
      </w:r>
    </w:p>
  </w:endnote>
  <w:endnote w:type="continuationSeparator" w:id="0">
    <w:p w:rsidR="00E967C7" w:rsidRDefault="00E967C7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C7" w:rsidRDefault="00E967C7" w:rsidP="003934F7">
      <w:r>
        <w:separator/>
      </w:r>
    </w:p>
  </w:footnote>
  <w:footnote w:type="continuationSeparator" w:id="0">
    <w:p w:rsidR="00E967C7" w:rsidRDefault="00E967C7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7D7F"/>
    <w:rsid w:val="008129E1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35DF"/>
    <w:rsid w:val="00C6798B"/>
    <w:rsid w:val="00C71DED"/>
    <w:rsid w:val="00C77796"/>
    <w:rsid w:val="00C82BEE"/>
    <w:rsid w:val="00C9305D"/>
    <w:rsid w:val="00CA0742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59D9"/>
    <w:rsid w:val="00E45B43"/>
    <w:rsid w:val="00E46A8D"/>
    <w:rsid w:val="00E64518"/>
    <w:rsid w:val="00E67672"/>
    <w:rsid w:val="00E67678"/>
    <w:rsid w:val="00E7350C"/>
    <w:rsid w:val="00E807F7"/>
    <w:rsid w:val="00E813AE"/>
    <w:rsid w:val="00E967C7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eptum.3@mail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mailto:pedagogy@internau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44B6-2770-438B-8CE8-34630EFB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6753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74</cp:revision>
  <cp:lastPrinted>2023-08-28T07:12:00Z</cp:lastPrinted>
  <dcterms:created xsi:type="dcterms:W3CDTF">2021-01-11T10:49:00Z</dcterms:created>
  <dcterms:modified xsi:type="dcterms:W3CDTF">2023-08-31T10:23:00Z</dcterms:modified>
</cp:coreProperties>
</file>